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2153"/>
      </w:tblGrid>
      <w:tr w:rsidR="00120321" w:rsidRPr="002179BE"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line="254" w:lineRule="auto"/>
              <w:jc w:val="both"/>
              <w:rPr>
                <w:rFonts w:ascii="Playfair Display" w:hAnsi="Playfair Display"/>
                <w:b/>
                <w:i/>
                <w:lang w:val="en-US" w:eastAsia="en-US"/>
              </w:rPr>
            </w:pPr>
            <w:r w:rsidRPr="00A6070A">
              <w:rPr>
                <w:rFonts w:ascii="Playfair Display" w:hAnsi="Playfair Display"/>
                <w:lang w:val="en-US" w:eastAsia="en-US"/>
              </w:rPr>
              <w:t>Name of course:</w:t>
            </w:r>
            <w:r w:rsidRPr="00A6070A">
              <w:rPr>
                <w:rFonts w:ascii="Playfair Display" w:hAnsi="Playfair Display"/>
                <w:b/>
                <w:lang w:val="en-US" w:eastAsia="en-US"/>
              </w:rPr>
              <w:t xml:space="preserve"> </w:t>
            </w:r>
            <w:bookmarkStart w:id="0" w:name="_GoBack"/>
            <w:proofErr w:type="spellStart"/>
            <w:r w:rsidRPr="00A6070A">
              <w:rPr>
                <w:rFonts w:ascii="Playfair Display" w:hAnsi="Playfair Display"/>
                <w:b/>
                <w:lang w:val="en-US" w:eastAsia="en-US"/>
              </w:rPr>
              <w:t>Agrochemistry</w:t>
            </w:r>
            <w:bookmarkEnd w:id="0"/>
            <w:proofErr w:type="spellEnd"/>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before="60" w:line="254" w:lineRule="auto"/>
              <w:jc w:val="both"/>
              <w:rPr>
                <w:rFonts w:ascii="Playfair Display" w:hAnsi="Playfair Display"/>
                <w:b/>
                <w:lang w:val="en-US" w:eastAsia="en-US"/>
              </w:rPr>
            </w:pPr>
            <w:r w:rsidRPr="00A6070A">
              <w:rPr>
                <w:rFonts w:ascii="Playfair Display" w:hAnsi="Playfair Display"/>
                <w:b/>
                <w:lang w:val="en-US" w:eastAsia="en-US"/>
              </w:rPr>
              <w:t>Credit value: 3</w:t>
            </w: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before="60" w:line="254" w:lineRule="auto"/>
              <w:jc w:val="both"/>
              <w:rPr>
                <w:rFonts w:ascii="Playfair Display" w:hAnsi="Playfair Display"/>
                <w:lang w:val="en-US" w:eastAsia="en-US"/>
              </w:rPr>
            </w:pPr>
            <w:r w:rsidRPr="00A6070A">
              <w:rPr>
                <w:rFonts w:ascii="Playfair Display" w:hAnsi="Playfair Display"/>
                <w:b/>
                <w:lang w:val="en-US" w:eastAsia="en-US"/>
              </w:rPr>
              <w:t>Course</w:t>
            </w:r>
            <w:r w:rsidRPr="00A6070A">
              <w:rPr>
                <w:rFonts w:ascii="Playfair Display" w:hAnsi="Playfair Display"/>
                <w:lang w:val="en-US" w:eastAsia="en-US"/>
              </w:rPr>
              <w:t xml:space="preserve"> </w:t>
            </w:r>
            <w:r w:rsidRPr="00A6070A">
              <w:rPr>
                <w:rFonts w:ascii="Playfair Display" w:hAnsi="Playfair Display"/>
                <w:b/>
                <w:lang w:val="en-US" w:eastAsia="en-US"/>
              </w:rPr>
              <w:t>classification</w:t>
            </w:r>
            <w:r w:rsidRPr="00A6070A">
              <w:rPr>
                <w:rFonts w:ascii="Playfair Display" w:hAnsi="Playfair Display"/>
                <w:lang w:val="en-US" w:eastAsia="en-US"/>
              </w:rPr>
              <w:t>: compulsory</w:t>
            </w: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before="40" w:after="40" w:line="254" w:lineRule="auto"/>
              <w:jc w:val="both"/>
              <w:rPr>
                <w:rFonts w:ascii="Playfair Display" w:hAnsi="Playfair Display"/>
                <w:lang w:val="en-US" w:eastAsia="en-US"/>
              </w:rPr>
            </w:pPr>
            <w:r w:rsidRPr="00A6070A">
              <w:rPr>
                <w:rFonts w:ascii="Playfair Display" w:hAnsi="Playfair Display"/>
                <w:b/>
                <w:lang w:val="en-US" w:eastAsia="en-US"/>
              </w:rPr>
              <w:t xml:space="preserve">The proportion of the practical nature of the course, „educational character”: </w:t>
            </w: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pacing w:line="254" w:lineRule="auto"/>
              <w:rPr>
                <w:rFonts w:ascii="Playfair Display" w:hAnsi="Playfair Display"/>
                <w:b/>
                <w:lang w:val="en-US" w:eastAsia="en-US"/>
              </w:rPr>
            </w:pPr>
            <w:r w:rsidRPr="00A6070A">
              <w:rPr>
                <w:rFonts w:ascii="Playfair Display" w:hAnsi="Playfair Display"/>
                <w:b/>
                <w:lang w:val="en-US" w:eastAsia="en-US"/>
              </w:rPr>
              <w:t>Type of cour</w:t>
            </w:r>
            <w:r>
              <w:rPr>
                <w:rFonts w:ascii="Playfair Display" w:hAnsi="Playfair Display"/>
                <w:b/>
                <w:lang w:val="en-US" w:eastAsia="en-US"/>
              </w:rPr>
              <w:t xml:space="preserve">se: 2 </w:t>
            </w:r>
            <w:r w:rsidRPr="00A6070A">
              <w:rPr>
                <w:rFonts w:ascii="Playfair Display" w:hAnsi="Playfair Display"/>
                <w:lang w:val="en-US" w:eastAsia="en-US"/>
              </w:rPr>
              <w:t xml:space="preserve">theoretical / </w:t>
            </w:r>
            <w:r>
              <w:rPr>
                <w:rFonts w:ascii="Playfair Display" w:hAnsi="Playfair Display"/>
                <w:lang w:val="en-US" w:eastAsia="en-US"/>
              </w:rPr>
              <w:t>1</w:t>
            </w:r>
            <w:r w:rsidRPr="00A6070A">
              <w:rPr>
                <w:rFonts w:ascii="Playfair Display" w:hAnsi="Playfair Display"/>
                <w:lang w:val="en-US" w:eastAsia="en-US"/>
              </w:rPr>
              <w:t xml:space="preserve"> practical, </w:t>
            </w:r>
            <w:r>
              <w:rPr>
                <w:rFonts w:ascii="Playfair Display" w:hAnsi="Playfair Display"/>
                <w:lang w:val="en-US" w:eastAsia="en-US"/>
              </w:rPr>
              <w:t>2</w:t>
            </w:r>
            <w:r w:rsidRPr="00A6070A">
              <w:rPr>
                <w:rFonts w:ascii="Playfair Display" w:hAnsi="Playfair Display"/>
                <w:lang w:val="en-US" w:eastAsia="en-US"/>
              </w:rPr>
              <w:t xml:space="preserve">+1 and the </w:t>
            </w:r>
            <w:r w:rsidRPr="00A6070A">
              <w:rPr>
                <w:rFonts w:ascii="Playfair Display" w:hAnsi="Playfair Display"/>
                <w:b/>
                <w:lang w:val="en-US" w:eastAsia="en-US"/>
              </w:rPr>
              <w:t xml:space="preserve">total number:  </w:t>
            </w:r>
            <w:r>
              <w:rPr>
                <w:rFonts w:ascii="Playfair Display" w:hAnsi="Playfair Display"/>
                <w:lang w:val="en-US" w:eastAsia="en-US"/>
              </w:rPr>
              <w:t>42</w:t>
            </w:r>
            <w:r w:rsidRPr="00A6070A">
              <w:rPr>
                <w:rFonts w:ascii="Playfair Display" w:hAnsi="Playfair Display"/>
                <w:lang w:val="en-US" w:eastAsia="en-US"/>
              </w:rPr>
              <w:t xml:space="preserve"> hours </w:t>
            </w:r>
            <w:r>
              <w:rPr>
                <w:rFonts w:ascii="Playfair Display" w:hAnsi="Playfair Display"/>
                <w:lang w:val="en-US" w:eastAsia="en-US"/>
              </w:rPr>
              <w:t xml:space="preserve">28 </w:t>
            </w:r>
            <w:r w:rsidRPr="00A6070A">
              <w:rPr>
                <w:rFonts w:ascii="Playfair Display" w:hAnsi="Playfair Display"/>
                <w:lang w:val="en-US" w:eastAsia="en-US"/>
              </w:rPr>
              <w:t xml:space="preserve">lectures + 14 hours practices in the given </w:t>
            </w:r>
            <w:r w:rsidRPr="00A6070A">
              <w:rPr>
                <w:rFonts w:ascii="Playfair Display" w:hAnsi="Playfair Display"/>
                <w:b/>
                <w:lang w:val="en-US" w:eastAsia="en-US"/>
              </w:rPr>
              <w:t>semester.</w:t>
            </w:r>
          </w:p>
          <w:p w:rsidR="00120321" w:rsidRPr="00A6070A" w:rsidRDefault="00120321" w:rsidP="000D1F89">
            <w:pPr>
              <w:suppressAutoHyphens/>
              <w:spacing w:before="60" w:line="254" w:lineRule="auto"/>
              <w:jc w:val="both"/>
              <w:rPr>
                <w:rFonts w:ascii="Playfair Display" w:hAnsi="Playfair Display"/>
                <w:b/>
                <w:lang w:val="en-US" w:eastAsia="en-US"/>
              </w:rPr>
            </w:pPr>
            <w:r w:rsidRPr="00A6070A">
              <w:rPr>
                <w:rFonts w:ascii="Playfair Display" w:hAnsi="Playfair Display"/>
                <w:lang w:val="en-US" w:eastAsia="en-US"/>
              </w:rPr>
              <w:t xml:space="preserve">Further (unique) means and properties of knowledge transfer: </w:t>
            </w: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before="60" w:line="254" w:lineRule="auto"/>
              <w:jc w:val="both"/>
              <w:rPr>
                <w:rFonts w:ascii="Playfair Display" w:hAnsi="Playfair Display"/>
                <w:lang w:val="en-US" w:eastAsia="en-US"/>
              </w:rPr>
            </w:pPr>
            <w:r w:rsidRPr="00A6070A">
              <w:rPr>
                <w:rFonts w:ascii="Playfair Display" w:hAnsi="Playfair Display"/>
                <w:b/>
                <w:lang w:val="en-US" w:eastAsia="en-US"/>
              </w:rPr>
              <w:t>Exam</w:t>
            </w:r>
            <w:r w:rsidRPr="00A6070A">
              <w:rPr>
                <w:rFonts w:ascii="Playfair Display" w:hAnsi="Playfair Display"/>
                <w:lang w:val="en-US" w:eastAsia="en-US"/>
              </w:rPr>
              <w:t xml:space="preserve"> type (colloquium / practical grade / </w:t>
            </w:r>
            <w:r w:rsidRPr="00A6070A">
              <w:rPr>
                <w:rFonts w:ascii="Playfair Display" w:hAnsi="Playfair Display"/>
                <w:b/>
                <w:lang w:val="en-US" w:eastAsia="en-US"/>
              </w:rPr>
              <w:t xml:space="preserve">other </w:t>
            </w:r>
            <w:r w:rsidRPr="00A6070A">
              <w:rPr>
                <w:rFonts w:ascii="Playfair Display" w:hAnsi="Playfair Display"/>
                <w:lang w:val="en-US" w:eastAsia="en-US"/>
              </w:rPr>
              <w:t xml:space="preserve">): </w:t>
            </w:r>
            <w:r w:rsidRPr="00A6070A">
              <w:rPr>
                <w:rFonts w:ascii="Playfair Display" w:hAnsi="Playfair Display"/>
                <w:b/>
                <w:lang w:val="en-US" w:eastAsia="en-US"/>
              </w:rPr>
              <w:t xml:space="preserve"> </w:t>
            </w:r>
            <w:r>
              <w:rPr>
                <w:rFonts w:ascii="Playfair Display" w:hAnsi="Playfair Display"/>
                <w:b/>
                <w:lang w:val="en-US" w:eastAsia="en-US"/>
              </w:rPr>
              <w:t>Colloquium</w:t>
            </w:r>
          </w:p>
          <w:p w:rsidR="00120321" w:rsidRPr="00A6070A" w:rsidRDefault="00120321" w:rsidP="000D1F89">
            <w:pPr>
              <w:suppressAutoHyphens/>
              <w:spacing w:before="60" w:line="254" w:lineRule="auto"/>
              <w:jc w:val="both"/>
              <w:rPr>
                <w:rFonts w:ascii="Playfair Display" w:hAnsi="Playfair Display"/>
                <w:b/>
                <w:lang w:val="en-US" w:eastAsia="en-US"/>
              </w:rPr>
            </w:pPr>
            <w:r w:rsidRPr="00A6070A">
              <w:rPr>
                <w:rFonts w:ascii="Playfair Display" w:hAnsi="Playfair Display"/>
                <w:lang w:val="en-US" w:eastAsia="en-US"/>
              </w:rPr>
              <w:t>Further (unique) means of knowledge verification</w:t>
            </w:r>
            <w:r w:rsidRPr="00A6070A">
              <w:rPr>
                <w:rFonts w:ascii="Playfair Display" w:hAnsi="Playfair Display"/>
                <w:b/>
                <w:color w:val="333399"/>
                <w:lang w:val="en-US" w:eastAsia="en-US"/>
              </w:rPr>
              <w:t xml:space="preserve">: </w:t>
            </w:r>
            <w:r w:rsidRPr="00A6070A">
              <w:rPr>
                <w:rFonts w:ascii="Playfair Display" w:hAnsi="Playfair Display"/>
                <w:b/>
                <w:lang w:val="en-US" w:eastAsia="en-US"/>
              </w:rPr>
              <w:t xml:space="preserve"> </w:t>
            </w: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line="254" w:lineRule="auto"/>
              <w:jc w:val="both"/>
              <w:rPr>
                <w:rFonts w:ascii="Playfair Display" w:hAnsi="Playfair Display"/>
                <w:lang w:val="en-US" w:eastAsia="en-US"/>
              </w:rPr>
            </w:pPr>
            <w:r w:rsidRPr="00A6070A">
              <w:rPr>
                <w:rFonts w:ascii="Playfair Display" w:hAnsi="Playfair Display"/>
                <w:lang w:val="en-US" w:eastAsia="en-US"/>
              </w:rPr>
              <w:t xml:space="preserve">The curricular </w:t>
            </w:r>
            <w:r w:rsidRPr="00A6070A">
              <w:rPr>
                <w:rFonts w:ascii="Playfair Display" w:hAnsi="Playfair Display"/>
                <w:b/>
                <w:lang w:val="en-US" w:eastAsia="en-US"/>
              </w:rPr>
              <w:t>place of the course</w:t>
            </w:r>
            <w:r w:rsidRPr="00A6070A">
              <w:rPr>
                <w:rFonts w:ascii="Playfair Display" w:hAnsi="Playfair Display"/>
                <w:lang w:val="en-US" w:eastAsia="en-US"/>
              </w:rPr>
              <w:t xml:space="preserve"> (which semester): 2. semester </w:t>
            </w:r>
          </w:p>
          <w:p w:rsidR="00120321" w:rsidRPr="00A6070A" w:rsidRDefault="00120321" w:rsidP="000D1F89">
            <w:pPr>
              <w:suppressAutoHyphens/>
              <w:spacing w:line="254" w:lineRule="auto"/>
              <w:jc w:val="both"/>
              <w:rPr>
                <w:rFonts w:ascii="Playfair Display" w:hAnsi="Playfair Display"/>
                <w:lang w:val="en-US" w:eastAsia="en-US"/>
              </w:rPr>
            </w:pPr>
          </w:p>
        </w:tc>
      </w:tr>
      <w:tr w:rsidR="00120321" w:rsidRPr="002179B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A6070A" w:rsidRDefault="00120321" w:rsidP="000D1F89">
            <w:pPr>
              <w:suppressAutoHyphens/>
              <w:spacing w:line="254" w:lineRule="auto"/>
              <w:jc w:val="both"/>
              <w:rPr>
                <w:rFonts w:ascii="Playfair Display" w:hAnsi="Playfair Display"/>
                <w:lang w:val="en-US" w:eastAsia="en-US"/>
              </w:rPr>
            </w:pPr>
            <w:r w:rsidRPr="00A6070A">
              <w:rPr>
                <w:rFonts w:ascii="Playfair Display" w:hAnsi="Playfair Display"/>
                <w:lang w:val="en-US" w:eastAsia="en-US"/>
              </w:rPr>
              <w:t xml:space="preserve">Prerequisites (if any): </w:t>
            </w:r>
            <w:r w:rsidRPr="00A6070A">
              <w:rPr>
                <w:rFonts w:ascii="Playfair Display" w:hAnsi="Playfair Display"/>
                <w:b/>
                <w:lang w:val="en-US" w:eastAsia="en-US"/>
              </w:rPr>
              <w:t xml:space="preserve">-                   </w:t>
            </w:r>
          </w:p>
        </w:tc>
      </w:tr>
    </w:tbl>
    <w:p w:rsidR="00120321" w:rsidRPr="002179BE" w:rsidRDefault="00120321" w:rsidP="00120321">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20321" w:rsidRPr="002179B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20321" w:rsidRPr="002179BE" w:rsidRDefault="00120321" w:rsidP="000D1F89">
            <w:pPr>
              <w:suppressAutoHyphens/>
              <w:spacing w:before="60" w:line="254" w:lineRule="auto"/>
              <w:jc w:val="both"/>
              <w:rPr>
                <w:rFonts w:ascii="Playfair Display" w:hAnsi="Playfair Display"/>
                <w:b/>
                <w:lang w:val="en-US" w:eastAsia="en-US"/>
              </w:rPr>
            </w:pPr>
            <w:r w:rsidRPr="002179BE">
              <w:rPr>
                <w:rFonts w:ascii="Playfair Display" w:hAnsi="Playfair Display"/>
                <w:b/>
                <w:lang w:val="en-US" w:eastAsia="en-US"/>
              </w:rPr>
              <w:t xml:space="preserve">Course description: a brief, but informative description of the knowledge to </w:t>
            </w:r>
            <w:proofErr w:type="gramStart"/>
            <w:r w:rsidRPr="002179BE">
              <w:rPr>
                <w:rFonts w:ascii="Playfair Display" w:hAnsi="Playfair Display"/>
                <w:b/>
                <w:lang w:val="en-US" w:eastAsia="en-US"/>
              </w:rPr>
              <w:t>be acquired</w:t>
            </w:r>
            <w:proofErr w:type="gramEnd"/>
            <w:r w:rsidRPr="002179BE">
              <w:rPr>
                <w:rFonts w:ascii="Playfair Display" w:hAnsi="Playfair Display"/>
                <w:b/>
                <w:lang w:val="en-US" w:eastAsia="en-US"/>
              </w:rPr>
              <w:t xml:space="preserve"> (14 weeks).</w:t>
            </w:r>
          </w:p>
        </w:tc>
      </w:tr>
      <w:tr w:rsidR="00120321" w:rsidRPr="002179BE"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The general objective of the subject is to train students who are familiar with the chemical and agrochemical basics of plant nutrition and environmentally friendly nutrient management, the theoretical and practical features of plant nutrition, and the role and possibilities of nutrient supply.</w:t>
            </w:r>
          </w:p>
          <w:p w:rsidR="00120321" w:rsidRPr="002179BE" w:rsidRDefault="00120321" w:rsidP="000D1F89">
            <w:pPr>
              <w:jc w:val="both"/>
              <w:rPr>
                <w:rFonts w:ascii="Playfair Display" w:hAnsi="Playfair Display"/>
              </w:rPr>
            </w:pPr>
            <w:proofErr w:type="spellStart"/>
            <w:r w:rsidRPr="002179BE">
              <w:rPr>
                <w:rFonts w:ascii="Playfair Display" w:hAnsi="Playfair Display"/>
              </w:rPr>
              <w:t>Lectures</w:t>
            </w:r>
            <w:proofErr w:type="spellEnd"/>
            <w:r w:rsidRPr="002179BE">
              <w:rPr>
                <w:rFonts w:ascii="Playfair Display" w:hAnsi="Playfair Display"/>
              </w:rPr>
              <w:t>:</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 Plant nutrients (essentiality, classification).</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2. Chemical composition of plants (water, dry matter, ash, organic matter content).</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3. Nutrient uptake of plants and influencing factors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 xml:space="preserve">4. Effect of nutrient supply on the yield and quality of plants. </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5. Nitrogen in the soil, nitrogen uptake by plants, the role and deficiency symptoms of nitrogen</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6.. The role of phosphorus in plants and potassium, deficiency symptoms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 xml:space="preserve">7. The role of calcium, magnesium and </w:t>
            </w:r>
            <w:proofErr w:type="spellStart"/>
            <w:r w:rsidRPr="002179BE">
              <w:rPr>
                <w:rFonts w:ascii="Playfair Display" w:hAnsi="Playfair Display"/>
                <w:lang w:val="en-US" w:eastAsia="en-US"/>
              </w:rPr>
              <w:t>sulphur</w:t>
            </w:r>
            <w:proofErr w:type="spellEnd"/>
            <w:r w:rsidRPr="002179BE">
              <w:rPr>
                <w:rFonts w:ascii="Playfair Display" w:hAnsi="Playfair Display"/>
                <w:lang w:val="en-US" w:eastAsia="en-US"/>
              </w:rPr>
              <w:t xml:space="preserve"> in plants, deficiency symptoms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8. Micronutrients and their role in plants, deficiency symptoms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9. Nitrogen fertilizers and their application</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10. Slow release nitrogen fertilizers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 xml:space="preserve">11. Phosphorus-, potassium-, magnesium- containing fertilizers, application </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12. Micronutrient containing fertilizer, application</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13. Compound fertilizers, mixed fertilizers, environmental risks of chemical fertilizers.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14. Organic fertilizers</w:t>
            </w:r>
          </w:p>
          <w:p w:rsidR="00120321" w:rsidRPr="002179BE" w:rsidRDefault="00120321" w:rsidP="000D1F89">
            <w:pPr>
              <w:suppressAutoHyphens/>
              <w:spacing w:line="254" w:lineRule="auto"/>
              <w:ind w:left="34"/>
              <w:jc w:val="both"/>
              <w:rPr>
                <w:rFonts w:ascii="Playfair Display" w:hAnsi="Playfair Display"/>
                <w:lang w:val="en-US" w:eastAsia="en-US"/>
              </w:rPr>
            </w:pP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Practices:</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Rules of soil sampling for agricultural purposes. Transport soil to the laboratory. Preparation of the laboratory soil sample</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 xml:space="preserve">Extraction reagents, Extraction procedure, Standards, Calibration procedure </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Measurement of soil pH, measurement of soil EC</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Measurement of extractable soil phosphorus. Method of P determination.</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 xml:space="preserve">Calculation of the data of soil P measurement. Interpretation of data. </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 xml:space="preserve">Rules of plant sampling, </w:t>
            </w:r>
          </w:p>
          <w:p w:rsidR="00120321" w:rsidRPr="002179BE" w:rsidRDefault="00120321" w:rsidP="00120321">
            <w:pPr>
              <w:numPr>
                <w:ilvl w:val="0"/>
                <w:numId w:val="25"/>
              </w:numPr>
              <w:suppressAutoHyphens/>
              <w:spacing w:line="254" w:lineRule="auto"/>
              <w:contextualSpacing/>
              <w:jc w:val="both"/>
              <w:rPr>
                <w:rFonts w:ascii="Playfair Display" w:hAnsi="Playfair Display"/>
                <w:lang w:val="en-US" w:eastAsia="en-US"/>
              </w:rPr>
            </w:pPr>
            <w:r w:rsidRPr="002179BE">
              <w:rPr>
                <w:rFonts w:ascii="Playfair Display" w:hAnsi="Playfair Display"/>
                <w:lang w:val="en-US" w:eastAsia="en-US"/>
              </w:rPr>
              <w:t>Measurement and calculation of plant moisture, dry matter and ash content.</w:t>
            </w:r>
          </w:p>
          <w:p w:rsidR="00120321" w:rsidRPr="002179BE" w:rsidRDefault="00120321" w:rsidP="000D1F89">
            <w:pPr>
              <w:suppressAutoHyphens/>
              <w:spacing w:line="254" w:lineRule="auto"/>
              <w:jc w:val="both"/>
              <w:rPr>
                <w:rFonts w:ascii="Playfair Display" w:hAnsi="Playfair Display"/>
                <w:lang w:val="en-US" w:eastAsia="en-US"/>
              </w:rPr>
            </w:pPr>
            <w:r w:rsidRPr="002179BE">
              <w:rPr>
                <w:rFonts w:ascii="Playfair Display" w:hAnsi="Playfair Display"/>
                <w:lang w:val="en-US" w:eastAsia="en-US"/>
              </w:rPr>
              <w:t>8.  Plant tissue test</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9. The basics of making nutrient solutions for foliar fertilization. Concentration calculations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10. Preparation of nutrient solutions with different concentrations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11. Chemical characterization of different fertilizers I.</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12. Chemical characterization of different fertilizers II.</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13. Measurement of pH and EC of aqueous solutions of different fertilizers solutions</w:t>
            </w:r>
          </w:p>
          <w:p w:rsidR="00120321" w:rsidRPr="002179BE" w:rsidRDefault="00120321" w:rsidP="000D1F89">
            <w:pPr>
              <w:suppressAutoHyphens/>
              <w:spacing w:line="254" w:lineRule="auto"/>
              <w:ind w:left="34"/>
              <w:jc w:val="both"/>
              <w:rPr>
                <w:rFonts w:ascii="Playfair Display" w:hAnsi="Playfair Display"/>
                <w:lang w:val="en-US" w:eastAsia="en-US"/>
              </w:rPr>
            </w:pPr>
            <w:r w:rsidRPr="002179BE">
              <w:rPr>
                <w:rFonts w:ascii="Playfair Display" w:hAnsi="Playfair Display"/>
                <w:lang w:val="en-US" w:eastAsia="en-US"/>
              </w:rPr>
              <w:t>14. Calculation of the simplified nutrient balance</w:t>
            </w:r>
          </w:p>
          <w:p w:rsidR="00120321" w:rsidRPr="002179BE" w:rsidRDefault="00120321" w:rsidP="000D1F89">
            <w:pPr>
              <w:suppressAutoHyphens/>
              <w:spacing w:line="254" w:lineRule="auto"/>
              <w:ind w:left="34"/>
              <w:rPr>
                <w:rFonts w:ascii="Playfair Display" w:hAnsi="Playfair Display"/>
                <w:lang w:val="en-US" w:eastAsia="en-US"/>
              </w:rPr>
            </w:pPr>
          </w:p>
        </w:tc>
      </w:tr>
      <w:tr w:rsidR="00120321" w:rsidRPr="002179B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20321" w:rsidRPr="002179BE" w:rsidRDefault="00120321" w:rsidP="000D1F89">
            <w:pPr>
              <w:suppressAutoHyphens/>
              <w:spacing w:line="254" w:lineRule="auto"/>
              <w:ind w:right="-108"/>
              <w:rPr>
                <w:rFonts w:ascii="Playfair Display" w:hAnsi="Playfair Display"/>
                <w:b/>
                <w:lang w:val="en-US" w:eastAsia="en-US"/>
              </w:rPr>
            </w:pPr>
            <w:r w:rsidRPr="002179BE">
              <w:rPr>
                <w:rFonts w:ascii="Playfair Display" w:hAnsi="Playfair Display"/>
                <w:b/>
                <w:lang w:val="en-US" w:eastAsia="en-US"/>
              </w:rPr>
              <w:t>Required and recommended reading:</w:t>
            </w:r>
          </w:p>
        </w:tc>
      </w:tr>
      <w:tr w:rsidR="00120321" w:rsidRPr="002179BE"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120321" w:rsidRPr="002179BE" w:rsidRDefault="00120321" w:rsidP="000D1F89">
            <w:pPr>
              <w:suppressAutoHyphens/>
              <w:spacing w:line="254" w:lineRule="auto"/>
              <w:ind w:left="34"/>
              <w:rPr>
                <w:rFonts w:ascii="Playfair Display" w:hAnsi="Playfair Display"/>
                <w:b/>
                <w:lang w:val="en-US" w:eastAsia="en-US"/>
              </w:rPr>
            </w:pPr>
            <w:r w:rsidRPr="002179BE">
              <w:rPr>
                <w:rFonts w:ascii="Playfair Display" w:hAnsi="Playfair Display"/>
                <w:b/>
                <w:lang w:val="en-US" w:eastAsia="en-US"/>
              </w:rPr>
              <w:lastRenderedPageBreak/>
              <w:t>Required reading:</w:t>
            </w:r>
          </w:p>
          <w:p w:rsidR="00120321" w:rsidRPr="002179BE" w:rsidRDefault="00120321" w:rsidP="000D1F89">
            <w:pPr>
              <w:spacing w:before="60"/>
              <w:ind w:left="884" w:hanging="283"/>
              <w:jc w:val="both"/>
              <w:rPr>
                <w:rFonts w:ascii="Playfair Display" w:hAnsi="Playfair Display"/>
              </w:rPr>
            </w:pPr>
            <w:r w:rsidRPr="002179BE">
              <w:rPr>
                <w:rFonts w:ascii="Playfair Display" w:hAnsi="Playfair Display"/>
              </w:rPr>
              <w:t xml:space="preserve">K. </w:t>
            </w:r>
            <w:proofErr w:type="spellStart"/>
            <w:r w:rsidRPr="002179BE">
              <w:rPr>
                <w:rFonts w:ascii="Playfair Display" w:hAnsi="Playfair Display"/>
              </w:rPr>
              <w:t>Mengel</w:t>
            </w:r>
            <w:proofErr w:type="spellEnd"/>
            <w:r w:rsidRPr="002179BE">
              <w:rPr>
                <w:rFonts w:ascii="Playfair Display" w:hAnsi="Playfair Display"/>
              </w:rPr>
              <w:t xml:space="preserve"> and EA </w:t>
            </w:r>
            <w:proofErr w:type="spellStart"/>
            <w:r w:rsidRPr="002179BE">
              <w:rPr>
                <w:rFonts w:ascii="Playfair Display" w:hAnsi="Playfair Display"/>
              </w:rPr>
              <w:t>Kirkby</w:t>
            </w:r>
            <w:proofErr w:type="spellEnd"/>
            <w:r w:rsidRPr="002179BE">
              <w:rPr>
                <w:rFonts w:ascii="Playfair Display" w:hAnsi="Playfair Display"/>
              </w:rPr>
              <w:t xml:space="preserve"> (1987). </w:t>
            </w:r>
            <w:proofErr w:type="spellStart"/>
            <w:r w:rsidRPr="002179BE">
              <w:rPr>
                <w:rFonts w:ascii="Playfair Display" w:hAnsi="Playfair Display"/>
              </w:rPr>
              <w:t>Principles</w:t>
            </w:r>
            <w:proofErr w:type="spellEnd"/>
            <w:r w:rsidRPr="002179BE">
              <w:rPr>
                <w:rFonts w:ascii="Playfair Display" w:hAnsi="Playfair Display"/>
              </w:rPr>
              <w:t xml:space="preserve"> of </w:t>
            </w:r>
            <w:proofErr w:type="spellStart"/>
            <w:r w:rsidRPr="002179BE">
              <w:rPr>
                <w:rFonts w:ascii="Playfair Display" w:hAnsi="Playfair Display"/>
              </w:rPr>
              <w:t>plant</w:t>
            </w:r>
            <w:proofErr w:type="spellEnd"/>
            <w:r w:rsidRPr="002179BE">
              <w:rPr>
                <w:rFonts w:ascii="Playfair Display" w:hAnsi="Playfair Display"/>
              </w:rPr>
              <w:t xml:space="preserve"> </w:t>
            </w:r>
            <w:proofErr w:type="spellStart"/>
            <w:r w:rsidRPr="002179BE">
              <w:rPr>
                <w:rFonts w:ascii="Playfair Display" w:hAnsi="Playfair Display"/>
              </w:rPr>
              <w:t>nutrition</w:t>
            </w:r>
            <w:proofErr w:type="spellEnd"/>
            <w:r w:rsidRPr="002179BE">
              <w:rPr>
                <w:rFonts w:ascii="Playfair Display" w:hAnsi="Playfair Display"/>
              </w:rPr>
              <w:t xml:space="preserve">, Lang </w:t>
            </w:r>
            <w:proofErr w:type="spellStart"/>
            <w:r w:rsidRPr="002179BE">
              <w:rPr>
                <w:rFonts w:ascii="Playfair Display" w:hAnsi="Playfair Display"/>
              </w:rPr>
              <w:t>Druck</w:t>
            </w:r>
            <w:proofErr w:type="spellEnd"/>
            <w:r w:rsidRPr="002179BE">
              <w:rPr>
                <w:rFonts w:ascii="Playfair Display" w:hAnsi="Playfair Display"/>
              </w:rPr>
              <w:t xml:space="preserve"> AG, </w:t>
            </w:r>
            <w:proofErr w:type="spellStart"/>
            <w:r w:rsidRPr="002179BE">
              <w:rPr>
                <w:rFonts w:ascii="Playfair Display" w:hAnsi="Playfair Display"/>
              </w:rPr>
              <w:t>Liebefeld</w:t>
            </w:r>
            <w:proofErr w:type="spellEnd"/>
            <w:r w:rsidRPr="002179BE">
              <w:rPr>
                <w:rFonts w:ascii="Playfair Display" w:hAnsi="Playfair Display"/>
              </w:rPr>
              <w:t xml:space="preserve"> / Bern, 685p. ISBN: 3-906-535037</w:t>
            </w:r>
          </w:p>
          <w:p w:rsidR="00120321" w:rsidRPr="002179BE" w:rsidRDefault="00120321" w:rsidP="000D1F89">
            <w:pPr>
              <w:spacing w:before="60"/>
              <w:ind w:left="884" w:hanging="283"/>
              <w:jc w:val="both"/>
              <w:rPr>
                <w:rFonts w:ascii="Playfair Display" w:hAnsi="Playfair Display"/>
              </w:rPr>
            </w:pPr>
            <w:r w:rsidRPr="002179BE">
              <w:rPr>
                <w:rFonts w:ascii="Playfair Display" w:hAnsi="Playfair Display"/>
              </w:rPr>
              <w:t xml:space="preserve"> </w:t>
            </w:r>
          </w:p>
          <w:p w:rsidR="00120321" w:rsidRPr="002179BE" w:rsidRDefault="00120321" w:rsidP="000D1F89">
            <w:pPr>
              <w:spacing w:before="60"/>
              <w:ind w:left="884" w:hanging="283"/>
              <w:jc w:val="both"/>
              <w:rPr>
                <w:rFonts w:ascii="Playfair Display" w:hAnsi="Playfair Display"/>
              </w:rPr>
            </w:pPr>
            <w:proofErr w:type="spellStart"/>
            <w:r w:rsidRPr="002179BE">
              <w:rPr>
                <w:rFonts w:ascii="Playfair Display" w:hAnsi="Playfair Display"/>
              </w:rPr>
              <w:t>Benton</w:t>
            </w:r>
            <w:proofErr w:type="spellEnd"/>
            <w:r w:rsidRPr="002179BE">
              <w:rPr>
                <w:rFonts w:ascii="Playfair Display" w:hAnsi="Playfair Display"/>
              </w:rPr>
              <w:t xml:space="preserve"> Jones, </w:t>
            </w:r>
            <w:proofErr w:type="spellStart"/>
            <w:r w:rsidRPr="002179BE">
              <w:rPr>
                <w:rFonts w:ascii="Playfair Display" w:hAnsi="Playfair Display"/>
              </w:rPr>
              <w:t>Jr</w:t>
            </w:r>
            <w:proofErr w:type="spellEnd"/>
            <w:r w:rsidRPr="002179BE">
              <w:rPr>
                <w:rFonts w:ascii="Playfair Display" w:hAnsi="Playfair Display"/>
              </w:rPr>
              <w:t xml:space="preserve">. (2001). Laboratory </w:t>
            </w:r>
            <w:proofErr w:type="spellStart"/>
            <w:r w:rsidRPr="002179BE">
              <w:rPr>
                <w:rFonts w:ascii="Playfair Display" w:hAnsi="Playfair Display"/>
              </w:rPr>
              <w:t>Guide</w:t>
            </w:r>
            <w:proofErr w:type="spellEnd"/>
            <w:r w:rsidRPr="002179BE">
              <w:rPr>
                <w:rFonts w:ascii="Playfair Display" w:hAnsi="Playfair Display"/>
              </w:rPr>
              <w:t xml:space="preserve"> </w:t>
            </w:r>
            <w:proofErr w:type="spellStart"/>
            <w:r w:rsidRPr="002179BE">
              <w:rPr>
                <w:rFonts w:ascii="Playfair Display" w:hAnsi="Playfair Display"/>
              </w:rPr>
              <w:t>for</w:t>
            </w:r>
            <w:proofErr w:type="spellEnd"/>
            <w:r w:rsidRPr="002179BE">
              <w:rPr>
                <w:rFonts w:ascii="Playfair Display" w:hAnsi="Playfair Display"/>
              </w:rPr>
              <w:t xml:space="preserve"> </w:t>
            </w:r>
            <w:proofErr w:type="spellStart"/>
            <w:r w:rsidRPr="002179BE">
              <w:rPr>
                <w:rFonts w:ascii="Playfair Display" w:hAnsi="Playfair Display"/>
              </w:rPr>
              <w:t>Conducting</w:t>
            </w:r>
            <w:proofErr w:type="spellEnd"/>
            <w:r w:rsidRPr="002179BE">
              <w:rPr>
                <w:rFonts w:ascii="Playfair Display" w:hAnsi="Playfair Display"/>
              </w:rPr>
              <w:t xml:space="preserve"> </w:t>
            </w:r>
            <w:proofErr w:type="spellStart"/>
            <w:r w:rsidRPr="002179BE">
              <w:rPr>
                <w:rFonts w:ascii="Playfair Display" w:hAnsi="Playfair Display"/>
              </w:rPr>
              <w:t>Soil</w:t>
            </w:r>
            <w:proofErr w:type="spellEnd"/>
            <w:r w:rsidRPr="002179BE">
              <w:rPr>
                <w:rFonts w:ascii="Playfair Display" w:hAnsi="Playfair Display"/>
              </w:rPr>
              <w:t xml:space="preserve"> </w:t>
            </w:r>
            <w:proofErr w:type="spellStart"/>
            <w:r w:rsidRPr="002179BE">
              <w:rPr>
                <w:rFonts w:ascii="Playfair Display" w:hAnsi="Playfair Display"/>
              </w:rPr>
              <w:t>Tests</w:t>
            </w:r>
            <w:proofErr w:type="spellEnd"/>
            <w:r w:rsidRPr="002179BE">
              <w:rPr>
                <w:rFonts w:ascii="Playfair Display" w:hAnsi="Playfair Display"/>
              </w:rPr>
              <w:t xml:space="preserve"> and </w:t>
            </w:r>
            <w:proofErr w:type="spellStart"/>
            <w:r w:rsidRPr="002179BE">
              <w:rPr>
                <w:rFonts w:ascii="Playfair Display" w:hAnsi="Playfair Display"/>
              </w:rPr>
              <w:t>Plant</w:t>
            </w:r>
            <w:proofErr w:type="spellEnd"/>
            <w:r w:rsidRPr="002179BE">
              <w:rPr>
                <w:rFonts w:ascii="Playfair Display" w:hAnsi="Playfair Display"/>
              </w:rPr>
              <w:t xml:space="preserve"> </w:t>
            </w:r>
            <w:proofErr w:type="spellStart"/>
            <w:r w:rsidRPr="002179BE">
              <w:rPr>
                <w:rFonts w:ascii="Playfair Display" w:hAnsi="Playfair Display"/>
              </w:rPr>
              <w:t>Analysis</w:t>
            </w:r>
            <w:proofErr w:type="spellEnd"/>
            <w:r w:rsidRPr="002179BE">
              <w:rPr>
                <w:rFonts w:ascii="Playfair Display" w:hAnsi="Playfair Display"/>
              </w:rPr>
              <w:t xml:space="preserve">, CRC </w:t>
            </w:r>
            <w:proofErr w:type="spellStart"/>
            <w:r w:rsidRPr="002179BE">
              <w:rPr>
                <w:rFonts w:ascii="Playfair Display" w:hAnsi="Playfair Display"/>
              </w:rPr>
              <w:t>press</w:t>
            </w:r>
            <w:proofErr w:type="spellEnd"/>
            <w:r w:rsidRPr="002179BE">
              <w:rPr>
                <w:rFonts w:ascii="Playfair Display" w:hAnsi="Playfair Display"/>
              </w:rPr>
              <w:t>, Taylor and Francis Group, 363p. ISBN: 0-8493-0206-4.</w:t>
            </w:r>
          </w:p>
          <w:p w:rsidR="00120321" w:rsidRPr="002179BE" w:rsidRDefault="00120321" w:rsidP="000D1F89">
            <w:pPr>
              <w:spacing w:before="60"/>
              <w:ind w:left="884" w:hanging="283"/>
              <w:jc w:val="both"/>
              <w:rPr>
                <w:rFonts w:ascii="Playfair Display" w:hAnsi="Playfair Display"/>
              </w:rPr>
            </w:pPr>
          </w:p>
          <w:p w:rsidR="00120321" w:rsidRPr="002179BE" w:rsidRDefault="00120321" w:rsidP="000D1F89">
            <w:pPr>
              <w:suppressAutoHyphens/>
              <w:spacing w:line="254" w:lineRule="auto"/>
              <w:ind w:left="34"/>
              <w:rPr>
                <w:rFonts w:ascii="Playfair Display" w:hAnsi="Playfair Display"/>
              </w:rPr>
            </w:pPr>
            <w:r w:rsidRPr="002179BE">
              <w:rPr>
                <w:rFonts w:ascii="Playfair Display" w:hAnsi="Playfair Display"/>
                <w:b/>
                <w:lang w:val="en-US" w:eastAsia="en-US"/>
              </w:rPr>
              <w:t>Recommended reading:</w:t>
            </w:r>
            <w:r w:rsidRPr="002179BE">
              <w:rPr>
                <w:rFonts w:ascii="Playfair Display" w:hAnsi="Playfair Display"/>
              </w:rPr>
              <w:t xml:space="preserve"> </w:t>
            </w:r>
          </w:p>
          <w:p w:rsidR="00120321" w:rsidRPr="002179BE" w:rsidRDefault="00120321" w:rsidP="000D1F89">
            <w:pPr>
              <w:suppressAutoHyphens/>
              <w:spacing w:line="254" w:lineRule="auto"/>
              <w:ind w:left="916" w:hanging="283"/>
              <w:jc w:val="both"/>
              <w:rPr>
                <w:rFonts w:ascii="Playfair Display" w:hAnsi="Playfair Display"/>
                <w:b/>
                <w:lang w:val="en-US" w:eastAsia="en-US"/>
              </w:rPr>
            </w:pPr>
            <w:proofErr w:type="spellStart"/>
            <w:r w:rsidRPr="002179BE">
              <w:rPr>
                <w:rFonts w:ascii="Playfair Display" w:hAnsi="Playfair Display"/>
              </w:rPr>
              <w:t>Benton</w:t>
            </w:r>
            <w:proofErr w:type="spellEnd"/>
            <w:r w:rsidRPr="002179BE">
              <w:rPr>
                <w:rFonts w:ascii="Playfair Display" w:hAnsi="Playfair Display"/>
              </w:rPr>
              <w:t xml:space="preserve"> Jones, </w:t>
            </w:r>
            <w:proofErr w:type="spellStart"/>
            <w:r w:rsidRPr="002179BE">
              <w:rPr>
                <w:rFonts w:ascii="Playfair Display" w:hAnsi="Playfair Display"/>
              </w:rPr>
              <w:t>Jr</w:t>
            </w:r>
            <w:proofErr w:type="spellEnd"/>
            <w:r w:rsidRPr="002179BE">
              <w:rPr>
                <w:rFonts w:ascii="Playfair Display" w:hAnsi="Playfair Display"/>
              </w:rPr>
              <w:t xml:space="preserve">. (2012). </w:t>
            </w:r>
            <w:proofErr w:type="spellStart"/>
            <w:r w:rsidRPr="002179BE">
              <w:rPr>
                <w:rFonts w:ascii="Playfair Display" w:hAnsi="Playfair Display"/>
              </w:rPr>
              <w:t>Plant</w:t>
            </w:r>
            <w:proofErr w:type="spellEnd"/>
            <w:r w:rsidRPr="002179BE">
              <w:rPr>
                <w:rFonts w:ascii="Playfair Display" w:hAnsi="Playfair Display"/>
              </w:rPr>
              <w:t xml:space="preserve"> </w:t>
            </w:r>
            <w:proofErr w:type="spellStart"/>
            <w:r w:rsidRPr="002179BE">
              <w:rPr>
                <w:rFonts w:ascii="Playfair Display" w:hAnsi="Playfair Display"/>
              </w:rPr>
              <w:t>nutrition</w:t>
            </w:r>
            <w:proofErr w:type="spellEnd"/>
            <w:r w:rsidRPr="002179BE">
              <w:rPr>
                <w:rFonts w:ascii="Playfair Display" w:hAnsi="Playfair Display"/>
              </w:rPr>
              <w:t xml:space="preserve"> and </w:t>
            </w:r>
            <w:proofErr w:type="spellStart"/>
            <w:r w:rsidRPr="002179BE">
              <w:rPr>
                <w:rFonts w:ascii="Playfair Display" w:hAnsi="Playfair Display"/>
              </w:rPr>
              <w:t>soil</w:t>
            </w:r>
            <w:proofErr w:type="spellEnd"/>
            <w:r w:rsidRPr="002179BE">
              <w:rPr>
                <w:rFonts w:ascii="Playfair Display" w:hAnsi="Playfair Display"/>
              </w:rPr>
              <w:t xml:space="preserve"> </w:t>
            </w:r>
            <w:proofErr w:type="spellStart"/>
            <w:r w:rsidRPr="002179BE">
              <w:rPr>
                <w:rFonts w:ascii="Playfair Display" w:hAnsi="Playfair Display"/>
              </w:rPr>
              <w:t>fertility</w:t>
            </w:r>
            <w:proofErr w:type="spellEnd"/>
            <w:r w:rsidRPr="002179BE">
              <w:rPr>
                <w:rFonts w:ascii="Playfair Display" w:hAnsi="Playfair Display"/>
              </w:rPr>
              <w:t xml:space="preserve"> </w:t>
            </w:r>
            <w:proofErr w:type="spellStart"/>
            <w:r w:rsidRPr="002179BE">
              <w:rPr>
                <w:rFonts w:ascii="Playfair Display" w:hAnsi="Playfair Display"/>
              </w:rPr>
              <w:t>manual</w:t>
            </w:r>
            <w:proofErr w:type="spellEnd"/>
            <w:r w:rsidRPr="002179BE">
              <w:rPr>
                <w:rFonts w:ascii="Playfair Display" w:hAnsi="Playfair Display"/>
              </w:rPr>
              <w:t xml:space="preserve">, CRC </w:t>
            </w:r>
            <w:proofErr w:type="spellStart"/>
            <w:r w:rsidRPr="002179BE">
              <w:rPr>
                <w:rFonts w:ascii="Playfair Display" w:hAnsi="Playfair Display"/>
              </w:rPr>
              <w:t>press</w:t>
            </w:r>
            <w:proofErr w:type="spellEnd"/>
            <w:r w:rsidRPr="002179BE">
              <w:rPr>
                <w:rFonts w:ascii="Playfair Display" w:hAnsi="Playfair Display"/>
              </w:rPr>
              <w:t>, Taylor and Francis Group, 282p. ISBN: 978-1-4398-1609-7</w:t>
            </w:r>
          </w:p>
          <w:p w:rsidR="00120321" w:rsidRPr="002179BE" w:rsidRDefault="00120321" w:rsidP="000D1F89">
            <w:pPr>
              <w:suppressAutoHyphens/>
              <w:spacing w:line="254" w:lineRule="auto"/>
              <w:ind w:left="34"/>
              <w:rPr>
                <w:rFonts w:ascii="Playfair Display" w:hAnsi="Playfair Display"/>
                <w:lang w:eastAsia="en-US"/>
              </w:rPr>
            </w:pPr>
          </w:p>
        </w:tc>
      </w:tr>
      <w:tr w:rsidR="00120321" w:rsidRPr="002179B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20321" w:rsidRPr="002179BE" w:rsidRDefault="00120321" w:rsidP="000D1F89">
            <w:pPr>
              <w:suppressAutoHyphens/>
              <w:spacing w:line="254" w:lineRule="auto"/>
              <w:jc w:val="both"/>
              <w:rPr>
                <w:rFonts w:ascii="Playfair Display" w:hAnsi="Playfair Display"/>
                <w:b/>
                <w:lang w:val="en-US" w:eastAsia="en-US"/>
              </w:rPr>
            </w:pPr>
            <w:r w:rsidRPr="002179BE">
              <w:rPr>
                <w:rFonts w:ascii="Playfair Display" w:hAnsi="Playfair Display"/>
                <w:b/>
                <w:lang w:val="en-US" w:eastAsia="en-US"/>
              </w:rPr>
              <w:t>Competencies to be acquired, related to the course:</w:t>
            </w:r>
          </w:p>
        </w:tc>
      </w:tr>
      <w:tr w:rsidR="00120321" w:rsidRPr="002179BE"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120321" w:rsidRPr="002179BE" w:rsidRDefault="00120321" w:rsidP="000D1F89">
            <w:pPr>
              <w:suppressAutoHyphens/>
              <w:spacing w:line="254" w:lineRule="auto"/>
              <w:jc w:val="both"/>
              <w:rPr>
                <w:rFonts w:ascii="Playfair Display" w:hAnsi="Playfair Display"/>
                <w:b/>
                <w:lang w:val="en-US" w:eastAsia="en-US"/>
              </w:rPr>
            </w:pPr>
            <w:r w:rsidRPr="002179BE">
              <w:rPr>
                <w:rFonts w:ascii="Playfair Display" w:hAnsi="Playfair Display"/>
                <w:b/>
                <w:lang w:val="en-US" w:eastAsia="en-US"/>
              </w:rPr>
              <w:t xml:space="preserve">a) Knowledge: </w:t>
            </w:r>
          </w:p>
          <w:p w:rsidR="00120321" w:rsidRPr="002179BE" w:rsidRDefault="00120321" w:rsidP="000D1F89">
            <w:pPr>
              <w:tabs>
                <w:tab w:val="left" w:pos="317"/>
              </w:tabs>
              <w:suppressAutoHyphens/>
              <w:ind w:left="349" w:hanging="173"/>
              <w:rPr>
                <w:rFonts w:ascii="Playfair Display" w:hAnsi="Playfair Display"/>
              </w:rPr>
            </w:pPr>
            <w:r w:rsidRPr="002179BE">
              <w:rPr>
                <w:rFonts w:ascii="Playfair Display" w:hAnsi="Playfair Display"/>
              </w:rPr>
              <w:t xml:space="preserve">- The </w:t>
            </w:r>
            <w:proofErr w:type="spellStart"/>
            <w:r w:rsidRPr="002179BE">
              <w:rPr>
                <w:rFonts w:ascii="Playfair Display" w:hAnsi="Playfair Display"/>
              </w:rPr>
              <w:t>students</w:t>
            </w:r>
            <w:proofErr w:type="spellEnd"/>
            <w:r w:rsidRPr="002179BE">
              <w:rPr>
                <w:rFonts w:ascii="Playfair Display" w:hAnsi="Playfair Display"/>
              </w:rPr>
              <w:t xml:space="preserve"> </w:t>
            </w:r>
            <w:proofErr w:type="spellStart"/>
            <w:r w:rsidRPr="002179BE">
              <w:rPr>
                <w:rFonts w:ascii="Playfair Display" w:hAnsi="Playfair Display"/>
              </w:rPr>
              <w:t>will</w:t>
            </w:r>
            <w:proofErr w:type="spellEnd"/>
            <w:r w:rsidRPr="002179BE">
              <w:rPr>
                <w:rFonts w:ascii="Playfair Display" w:hAnsi="Playfair Display"/>
              </w:rPr>
              <w:t xml:space="preserve"> </w:t>
            </w:r>
            <w:proofErr w:type="spellStart"/>
            <w:r w:rsidRPr="002179BE">
              <w:rPr>
                <w:rFonts w:ascii="Playfair Display" w:hAnsi="Playfair Display"/>
              </w:rPr>
              <w:t>have</w:t>
            </w:r>
            <w:proofErr w:type="spellEnd"/>
            <w:r w:rsidRPr="002179BE">
              <w:rPr>
                <w:rFonts w:ascii="Playfair Display" w:hAnsi="Playfair Display"/>
              </w:rPr>
              <w:t xml:space="preserve"> </w:t>
            </w:r>
            <w:proofErr w:type="spellStart"/>
            <w:r w:rsidRPr="002179BE">
              <w:rPr>
                <w:rFonts w:ascii="Playfair Display" w:hAnsi="Playfair Display"/>
              </w:rPr>
              <w:t>general</w:t>
            </w:r>
            <w:proofErr w:type="spellEnd"/>
            <w:r w:rsidRPr="002179BE">
              <w:rPr>
                <w:rFonts w:ascii="Playfair Display" w:hAnsi="Playfair Display"/>
              </w:rPr>
              <w:t xml:space="preserve"> </w:t>
            </w:r>
            <w:proofErr w:type="spellStart"/>
            <w:r w:rsidRPr="002179BE">
              <w:rPr>
                <w:rFonts w:ascii="Playfair Display" w:hAnsi="Playfair Display"/>
              </w:rPr>
              <w:t>theoretical</w:t>
            </w:r>
            <w:proofErr w:type="spellEnd"/>
            <w:r w:rsidRPr="002179BE">
              <w:rPr>
                <w:rFonts w:ascii="Playfair Display" w:hAnsi="Playfair Display"/>
              </w:rPr>
              <w:t xml:space="preserve"> and </w:t>
            </w:r>
            <w:proofErr w:type="spellStart"/>
            <w:r w:rsidRPr="002179BE">
              <w:rPr>
                <w:rFonts w:ascii="Playfair Display" w:hAnsi="Playfair Display"/>
              </w:rPr>
              <w:t>practical</w:t>
            </w:r>
            <w:proofErr w:type="spellEnd"/>
            <w:r w:rsidRPr="002179BE">
              <w:rPr>
                <w:rFonts w:ascii="Playfair Display" w:hAnsi="Playfair Display"/>
              </w:rPr>
              <w:t xml:space="preserve"> </w:t>
            </w:r>
            <w:proofErr w:type="spellStart"/>
            <w:r w:rsidRPr="002179BE">
              <w:rPr>
                <w:rFonts w:ascii="Playfair Display" w:hAnsi="Playfair Display"/>
              </w:rPr>
              <w:t>knowledge</w:t>
            </w:r>
            <w:proofErr w:type="spellEnd"/>
            <w:r w:rsidRPr="002179BE">
              <w:rPr>
                <w:rFonts w:ascii="Playfair Display" w:hAnsi="Playfair Display"/>
              </w:rPr>
              <w:t xml:space="preserve"> </w:t>
            </w:r>
            <w:proofErr w:type="spellStart"/>
            <w:r w:rsidRPr="002179BE">
              <w:rPr>
                <w:rFonts w:ascii="Playfair Display" w:hAnsi="Playfair Display"/>
              </w:rPr>
              <w:t>related</w:t>
            </w:r>
            <w:proofErr w:type="spellEnd"/>
            <w:r w:rsidRPr="002179BE">
              <w:rPr>
                <w:rFonts w:ascii="Playfair Display" w:hAnsi="Playfair Display"/>
              </w:rPr>
              <w:t xml:space="preserve"> </w:t>
            </w:r>
            <w:proofErr w:type="spellStart"/>
            <w:r w:rsidRPr="002179BE">
              <w:rPr>
                <w:rFonts w:ascii="Playfair Display" w:hAnsi="Playfair Display"/>
              </w:rPr>
              <w:t>to</w:t>
            </w:r>
            <w:proofErr w:type="spellEnd"/>
            <w:r w:rsidRPr="002179BE">
              <w:rPr>
                <w:rFonts w:ascii="Playfair Display" w:hAnsi="Playfair Display"/>
              </w:rPr>
              <w:t xml:space="preserve"> </w:t>
            </w:r>
            <w:proofErr w:type="spellStart"/>
            <w:r w:rsidRPr="002179BE">
              <w:rPr>
                <w:rFonts w:ascii="Playfair Display" w:hAnsi="Playfair Display"/>
              </w:rPr>
              <w:t>the</w:t>
            </w:r>
            <w:proofErr w:type="spellEnd"/>
            <w:r w:rsidRPr="002179BE">
              <w:rPr>
                <w:rFonts w:ascii="Playfair Display" w:hAnsi="Playfair Display"/>
              </w:rPr>
              <w:t xml:space="preserve"> </w:t>
            </w:r>
            <w:proofErr w:type="spellStart"/>
            <w:r w:rsidRPr="002179BE">
              <w:rPr>
                <w:rFonts w:ascii="Playfair Display" w:hAnsi="Playfair Display"/>
              </w:rPr>
              <w:t>field</w:t>
            </w:r>
            <w:proofErr w:type="spellEnd"/>
            <w:r w:rsidRPr="002179BE">
              <w:rPr>
                <w:rFonts w:ascii="Playfair Display" w:hAnsi="Playfair Display"/>
              </w:rPr>
              <w:t xml:space="preserve"> of </w:t>
            </w:r>
            <w:proofErr w:type="spellStart"/>
            <w:r w:rsidRPr="002179BE">
              <w:rPr>
                <w:rFonts w:ascii="Playfair Display" w:hAnsi="Playfair Display"/>
              </w:rPr>
              <w:t>plant</w:t>
            </w:r>
            <w:proofErr w:type="spellEnd"/>
            <w:r w:rsidRPr="002179BE">
              <w:rPr>
                <w:rFonts w:ascii="Playfair Display" w:hAnsi="Playfair Display"/>
              </w:rPr>
              <w:t xml:space="preserve"> </w:t>
            </w:r>
            <w:proofErr w:type="spellStart"/>
            <w:r w:rsidRPr="002179BE">
              <w:rPr>
                <w:rFonts w:ascii="Playfair Display" w:hAnsi="Playfair Display"/>
              </w:rPr>
              <w:t>nutrition</w:t>
            </w:r>
            <w:proofErr w:type="spellEnd"/>
            <w:r w:rsidRPr="002179BE">
              <w:rPr>
                <w:rFonts w:ascii="Playfair Display" w:hAnsi="Playfair Display"/>
              </w:rPr>
              <w:t>.</w:t>
            </w:r>
          </w:p>
          <w:p w:rsidR="00120321" w:rsidRPr="002179BE" w:rsidRDefault="00120321" w:rsidP="000D1F89">
            <w:pPr>
              <w:tabs>
                <w:tab w:val="left" w:pos="317"/>
              </w:tabs>
              <w:suppressAutoHyphens/>
              <w:ind w:left="349" w:hanging="173"/>
              <w:rPr>
                <w:rFonts w:ascii="Playfair Display" w:hAnsi="Playfair Display"/>
              </w:rPr>
            </w:pPr>
            <w:r w:rsidRPr="002179BE">
              <w:rPr>
                <w:rFonts w:ascii="Playfair Display" w:hAnsi="Playfair Display"/>
              </w:rPr>
              <w:t xml:space="preserve">- The </w:t>
            </w:r>
            <w:proofErr w:type="spellStart"/>
            <w:r w:rsidRPr="002179BE">
              <w:rPr>
                <w:rFonts w:ascii="Playfair Display" w:hAnsi="Playfair Display"/>
              </w:rPr>
              <w:t>students’s</w:t>
            </w:r>
            <w:proofErr w:type="spellEnd"/>
            <w:r w:rsidRPr="002179BE">
              <w:rPr>
                <w:rFonts w:ascii="Playfair Display" w:hAnsi="Playfair Display"/>
              </w:rPr>
              <w:t xml:space="preserve"> </w:t>
            </w:r>
            <w:proofErr w:type="spellStart"/>
            <w:r w:rsidRPr="002179BE">
              <w:rPr>
                <w:rFonts w:ascii="Playfair Display" w:hAnsi="Playfair Display"/>
              </w:rPr>
              <w:t>theoretical</w:t>
            </w:r>
            <w:proofErr w:type="spellEnd"/>
            <w:r w:rsidRPr="002179BE">
              <w:rPr>
                <w:rFonts w:ascii="Playfair Display" w:hAnsi="Playfair Display"/>
              </w:rPr>
              <w:t xml:space="preserve"> and </w:t>
            </w:r>
            <w:proofErr w:type="spellStart"/>
            <w:r w:rsidRPr="002179BE">
              <w:rPr>
                <w:rFonts w:ascii="Playfair Display" w:hAnsi="Playfair Display"/>
              </w:rPr>
              <w:t>practical</w:t>
            </w:r>
            <w:proofErr w:type="spellEnd"/>
            <w:r w:rsidRPr="002179BE">
              <w:rPr>
                <w:rFonts w:ascii="Playfair Display" w:hAnsi="Playfair Display"/>
              </w:rPr>
              <w:t xml:space="preserve"> </w:t>
            </w:r>
            <w:proofErr w:type="spellStart"/>
            <w:r w:rsidRPr="002179BE">
              <w:rPr>
                <w:rFonts w:ascii="Playfair Display" w:hAnsi="Playfair Display"/>
              </w:rPr>
              <w:t>knowledge</w:t>
            </w:r>
            <w:proofErr w:type="spellEnd"/>
            <w:r w:rsidRPr="002179BE">
              <w:rPr>
                <w:rFonts w:ascii="Playfair Display" w:hAnsi="Playfair Display"/>
              </w:rPr>
              <w:t xml:space="preserve"> of </w:t>
            </w:r>
            <w:proofErr w:type="spellStart"/>
            <w:r w:rsidRPr="002179BE">
              <w:rPr>
                <w:rFonts w:ascii="Playfair Display" w:hAnsi="Playfair Display"/>
              </w:rPr>
              <w:t>plant</w:t>
            </w:r>
            <w:proofErr w:type="spellEnd"/>
            <w:r w:rsidRPr="002179BE">
              <w:rPr>
                <w:rFonts w:ascii="Playfair Display" w:hAnsi="Playfair Display"/>
              </w:rPr>
              <w:t xml:space="preserve"> </w:t>
            </w:r>
            <w:proofErr w:type="spellStart"/>
            <w:r w:rsidRPr="002179BE">
              <w:rPr>
                <w:rFonts w:ascii="Playfair Display" w:hAnsi="Playfair Display"/>
              </w:rPr>
              <w:t>nutrition</w:t>
            </w:r>
            <w:proofErr w:type="spellEnd"/>
            <w:r w:rsidRPr="002179BE">
              <w:rPr>
                <w:rFonts w:ascii="Playfair Display" w:hAnsi="Playfair Display"/>
              </w:rPr>
              <w:t xml:space="preserve"> and </w:t>
            </w:r>
            <w:proofErr w:type="spellStart"/>
            <w:r w:rsidRPr="002179BE">
              <w:rPr>
                <w:rFonts w:ascii="Playfair Display" w:hAnsi="Playfair Display"/>
              </w:rPr>
              <w:t>nutrient</w:t>
            </w:r>
            <w:proofErr w:type="spellEnd"/>
            <w:r w:rsidRPr="002179BE">
              <w:rPr>
                <w:rFonts w:ascii="Playfair Display" w:hAnsi="Playfair Display"/>
              </w:rPr>
              <w:t xml:space="preserve"> management </w:t>
            </w:r>
            <w:proofErr w:type="spellStart"/>
            <w:r w:rsidRPr="002179BE">
              <w:rPr>
                <w:rFonts w:ascii="Playfair Display" w:hAnsi="Playfair Display"/>
              </w:rPr>
              <w:t>will</w:t>
            </w:r>
            <w:proofErr w:type="spellEnd"/>
            <w:r w:rsidRPr="002179BE">
              <w:rPr>
                <w:rFonts w:ascii="Playfair Display" w:hAnsi="Playfair Display"/>
              </w:rPr>
              <w:t xml:space="preserve"> be </w:t>
            </w:r>
            <w:proofErr w:type="spellStart"/>
            <w:r w:rsidRPr="002179BE">
              <w:rPr>
                <w:rFonts w:ascii="Playfair Display" w:hAnsi="Playfair Display"/>
              </w:rPr>
              <w:t>organized</w:t>
            </w:r>
            <w:proofErr w:type="spellEnd"/>
            <w:r w:rsidRPr="002179BE">
              <w:rPr>
                <w:rFonts w:ascii="Playfair Display" w:hAnsi="Playfair Display"/>
              </w:rPr>
              <w:t xml:space="preserve"> </w:t>
            </w:r>
            <w:proofErr w:type="spellStart"/>
            <w:r w:rsidRPr="002179BE">
              <w:rPr>
                <w:rFonts w:ascii="Playfair Display" w:hAnsi="Playfair Display"/>
              </w:rPr>
              <w:t>into</w:t>
            </w:r>
            <w:proofErr w:type="spellEnd"/>
            <w:r w:rsidRPr="002179BE">
              <w:rPr>
                <w:rFonts w:ascii="Playfair Display" w:hAnsi="Playfair Display"/>
              </w:rPr>
              <w:t xml:space="preserve"> a </w:t>
            </w:r>
            <w:proofErr w:type="spellStart"/>
            <w:r w:rsidRPr="002179BE">
              <w:rPr>
                <w:rFonts w:ascii="Playfair Display" w:hAnsi="Playfair Display"/>
              </w:rPr>
              <w:t>system</w:t>
            </w:r>
            <w:proofErr w:type="spellEnd"/>
            <w:r w:rsidRPr="002179BE">
              <w:rPr>
                <w:rFonts w:ascii="Playfair Display" w:hAnsi="Playfair Display"/>
              </w:rPr>
              <w:t>.</w:t>
            </w:r>
          </w:p>
          <w:p w:rsidR="00120321" w:rsidRPr="002179BE" w:rsidRDefault="00120321" w:rsidP="000D1F89">
            <w:pPr>
              <w:spacing w:line="254" w:lineRule="auto"/>
              <w:jc w:val="both"/>
              <w:rPr>
                <w:rFonts w:ascii="Playfair Display" w:hAnsi="Playfair Display"/>
                <w:b/>
                <w:lang w:val="en-US" w:eastAsia="en-US"/>
              </w:rPr>
            </w:pPr>
            <w:r w:rsidRPr="002179BE">
              <w:rPr>
                <w:rFonts w:ascii="Playfair Display" w:hAnsi="Playfair Display"/>
                <w:lang w:val="en-US" w:eastAsia="en-US"/>
              </w:rPr>
              <w:t xml:space="preserve"> </w:t>
            </w:r>
          </w:p>
          <w:p w:rsidR="00120321" w:rsidRPr="002179BE" w:rsidRDefault="00120321" w:rsidP="000D1F89">
            <w:pPr>
              <w:suppressAutoHyphens/>
              <w:spacing w:line="254" w:lineRule="auto"/>
              <w:jc w:val="both"/>
              <w:rPr>
                <w:rFonts w:ascii="Playfair Display" w:hAnsi="Playfair Display"/>
                <w:b/>
                <w:lang w:val="en-US" w:eastAsia="en-US"/>
              </w:rPr>
            </w:pPr>
            <w:r w:rsidRPr="002179BE">
              <w:rPr>
                <w:rFonts w:ascii="Playfair Display" w:hAnsi="Playfair Display"/>
                <w:b/>
                <w:lang w:val="en-US" w:eastAsia="en-US"/>
              </w:rPr>
              <w:t>b) Ability:</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The student will be able to implement nutrient supply in an environmentally friendly way.</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Plan and solve the tasks of plant nutrition by selecting the suitable fertilizers, methods and tools, and applying them individually and in a complex way.</w:t>
            </w:r>
          </w:p>
          <w:p w:rsidR="00120321" w:rsidRPr="002179BE" w:rsidRDefault="00120321" w:rsidP="000D1F89">
            <w:pPr>
              <w:suppressAutoHyphens/>
              <w:spacing w:line="254" w:lineRule="auto"/>
              <w:jc w:val="both"/>
              <w:rPr>
                <w:rFonts w:ascii="Playfair Display" w:hAnsi="Playfair Display"/>
                <w:lang w:val="en-US" w:eastAsia="en-US"/>
              </w:rPr>
            </w:pPr>
          </w:p>
          <w:p w:rsidR="00120321" w:rsidRPr="002179BE" w:rsidRDefault="00120321" w:rsidP="000D1F89">
            <w:pPr>
              <w:suppressAutoHyphens/>
              <w:spacing w:line="254" w:lineRule="auto"/>
              <w:jc w:val="both"/>
              <w:rPr>
                <w:rFonts w:ascii="Playfair Display" w:hAnsi="Playfair Display"/>
                <w:b/>
                <w:lang w:val="en-US" w:eastAsia="en-US"/>
              </w:rPr>
            </w:pPr>
            <w:r w:rsidRPr="002179BE">
              <w:rPr>
                <w:rFonts w:ascii="Playfair Display" w:hAnsi="Playfair Display"/>
                <w:b/>
                <w:lang w:val="en-US" w:eastAsia="en-US"/>
              </w:rPr>
              <w:t xml:space="preserve">c) Attitude: </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The students will be open to new results and innovations in nutrient management, and will seek to learn, understand and apply them.</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Pursue continuous self-education.</w:t>
            </w:r>
          </w:p>
          <w:p w:rsidR="00120321" w:rsidRPr="002179BE" w:rsidRDefault="00120321" w:rsidP="000D1F89">
            <w:pPr>
              <w:suppressAutoHyphens/>
              <w:spacing w:line="254" w:lineRule="auto"/>
              <w:jc w:val="both"/>
              <w:rPr>
                <w:rFonts w:ascii="Playfair Display" w:hAnsi="Playfair Display"/>
                <w:b/>
                <w:lang w:val="en-US" w:eastAsia="en-US"/>
              </w:rPr>
            </w:pPr>
          </w:p>
          <w:p w:rsidR="00120321" w:rsidRPr="002179BE" w:rsidRDefault="00120321" w:rsidP="000D1F89">
            <w:pPr>
              <w:suppressAutoHyphens/>
              <w:spacing w:line="254" w:lineRule="auto"/>
              <w:jc w:val="both"/>
              <w:rPr>
                <w:rFonts w:ascii="Playfair Display" w:hAnsi="Playfair Display"/>
                <w:b/>
                <w:lang w:val="en-US" w:eastAsia="en-US"/>
              </w:rPr>
            </w:pPr>
            <w:r w:rsidRPr="002179BE">
              <w:rPr>
                <w:rFonts w:ascii="Playfair Display" w:hAnsi="Playfair Display"/>
                <w:b/>
                <w:lang w:val="en-US" w:eastAsia="en-US"/>
              </w:rPr>
              <w:t>d) Autonomy and responsibility:</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The students will carry out the nutrient supply tasks independently, in an environmentally friendly way and under constant self-monitoring,</w:t>
            </w:r>
          </w:p>
          <w:p w:rsidR="00120321" w:rsidRPr="002179BE" w:rsidRDefault="00120321" w:rsidP="000D1F89">
            <w:pPr>
              <w:suppressAutoHyphens/>
              <w:spacing w:line="254" w:lineRule="auto"/>
              <w:ind w:left="349" w:hanging="173"/>
              <w:jc w:val="both"/>
              <w:rPr>
                <w:rFonts w:ascii="Playfair Display" w:hAnsi="Playfair Display"/>
                <w:lang w:val="en-US" w:eastAsia="en-US"/>
              </w:rPr>
            </w:pPr>
            <w:r w:rsidRPr="002179BE">
              <w:rPr>
                <w:rFonts w:ascii="Playfair Display" w:hAnsi="Playfair Display"/>
                <w:lang w:val="en-US" w:eastAsia="en-US"/>
              </w:rPr>
              <w:t>- Students will have a sense of responsibility and reflect on the consequences of their own actions.</w:t>
            </w:r>
          </w:p>
        </w:tc>
      </w:tr>
    </w:tbl>
    <w:p w:rsidR="00120321" w:rsidRPr="002179BE" w:rsidRDefault="00120321" w:rsidP="00120321">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20321" w:rsidRPr="002179BE"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2179BE" w:rsidRDefault="00120321" w:rsidP="000D1F89">
            <w:pPr>
              <w:suppressAutoHyphens/>
              <w:spacing w:before="60" w:line="254" w:lineRule="auto"/>
              <w:jc w:val="both"/>
              <w:rPr>
                <w:rFonts w:ascii="Playfair Display" w:hAnsi="Playfair Display"/>
                <w:b/>
                <w:lang w:val="en-US" w:eastAsia="en-US"/>
              </w:rPr>
            </w:pPr>
            <w:r w:rsidRPr="002179BE">
              <w:rPr>
                <w:rFonts w:ascii="Playfair Display" w:hAnsi="Playfair Display"/>
                <w:b/>
                <w:lang w:val="en-US" w:eastAsia="en-US"/>
              </w:rPr>
              <w:t xml:space="preserve">Course leader </w:t>
            </w:r>
            <w:r w:rsidRPr="002179BE">
              <w:rPr>
                <w:rFonts w:ascii="Playfair Display" w:hAnsi="Playfair Display"/>
                <w:lang w:val="en-US" w:eastAsia="en-US"/>
              </w:rPr>
              <w:t>(name, post, academic degree):</w:t>
            </w:r>
            <w:r w:rsidRPr="002179BE">
              <w:rPr>
                <w:rFonts w:ascii="Playfair Display" w:hAnsi="Playfair Display"/>
                <w:b/>
                <w:lang w:val="en-US" w:eastAsia="en-US"/>
              </w:rPr>
              <w:t xml:space="preserve"> </w:t>
            </w:r>
            <w:proofErr w:type="spellStart"/>
            <w:r w:rsidRPr="002179BE">
              <w:rPr>
                <w:rFonts w:ascii="Playfair Display" w:hAnsi="Playfair Display"/>
                <w:b/>
                <w:lang w:val="en-US" w:eastAsia="en-US"/>
              </w:rPr>
              <w:t>Balláné</w:t>
            </w:r>
            <w:proofErr w:type="spellEnd"/>
            <w:r w:rsidRPr="002179BE">
              <w:rPr>
                <w:rFonts w:ascii="Playfair Display" w:hAnsi="Playfair Display"/>
                <w:b/>
                <w:lang w:val="en-US" w:eastAsia="en-US"/>
              </w:rPr>
              <w:t xml:space="preserve"> Dr. </w:t>
            </w:r>
            <w:proofErr w:type="spellStart"/>
            <w:r w:rsidRPr="002179BE">
              <w:rPr>
                <w:rFonts w:ascii="Playfair Display" w:hAnsi="Playfair Display"/>
                <w:b/>
                <w:lang w:val="en-US" w:eastAsia="en-US"/>
              </w:rPr>
              <w:t>Kovács</w:t>
            </w:r>
            <w:proofErr w:type="spellEnd"/>
            <w:r w:rsidRPr="002179BE">
              <w:rPr>
                <w:rFonts w:ascii="Playfair Display" w:hAnsi="Playfair Display"/>
                <w:b/>
                <w:lang w:val="en-US" w:eastAsia="en-US"/>
              </w:rPr>
              <w:t xml:space="preserve"> Andrea PhD</w:t>
            </w:r>
          </w:p>
        </w:tc>
      </w:tr>
      <w:tr w:rsidR="00120321" w:rsidRPr="002179BE"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0321" w:rsidRPr="002179BE" w:rsidRDefault="00120321" w:rsidP="000D1F89">
            <w:pPr>
              <w:suppressAutoHyphens/>
              <w:spacing w:before="60" w:line="254" w:lineRule="auto"/>
              <w:jc w:val="both"/>
              <w:rPr>
                <w:rFonts w:ascii="Playfair Display" w:hAnsi="Playfair Display"/>
                <w:b/>
                <w:lang w:val="en-US" w:eastAsia="en-US"/>
              </w:rPr>
            </w:pPr>
            <w:r w:rsidRPr="002179BE">
              <w:rPr>
                <w:rFonts w:ascii="Playfair Display" w:hAnsi="Playfair Display"/>
                <w:b/>
                <w:lang w:val="en-US" w:eastAsia="en-US"/>
              </w:rPr>
              <w:t xml:space="preserve">Other lecturer(s) involved in teaching the course, if any </w:t>
            </w:r>
            <w:r w:rsidRPr="002179BE">
              <w:rPr>
                <w:rFonts w:ascii="Playfair Display" w:hAnsi="Playfair Display"/>
                <w:lang w:val="en-US" w:eastAsia="en-US"/>
              </w:rPr>
              <w:t>(name, post, academic degree):</w:t>
            </w:r>
            <w:r w:rsidRPr="002179BE">
              <w:rPr>
                <w:rFonts w:ascii="Playfair Display" w:hAnsi="Playfair Display"/>
                <w:b/>
                <w:lang w:val="en-US" w:eastAsia="en-US"/>
              </w:rPr>
              <w:t xml:space="preserve"> -</w:t>
            </w:r>
          </w:p>
        </w:tc>
      </w:tr>
    </w:tbl>
    <w:p w:rsidR="00314FB7" w:rsidRPr="00120321" w:rsidRDefault="00314FB7" w:rsidP="00120321"/>
    <w:sectPr w:rsidR="00314FB7" w:rsidRPr="0012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6"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1"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1"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18"/>
  </w:num>
  <w:num w:numId="2">
    <w:abstractNumId w:val="2"/>
  </w:num>
  <w:num w:numId="3">
    <w:abstractNumId w:val="3"/>
  </w:num>
  <w:num w:numId="4">
    <w:abstractNumId w:val="20"/>
  </w:num>
  <w:num w:numId="5">
    <w:abstractNumId w:val="17"/>
  </w:num>
  <w:num w:numId="6">
    <w:abstractNumId w:val="16"/>
  </w:num>
  <w:num w:numId="7">
    <w:abstractNumId w:val="1"/>
  </w:num>
  <w:num w:numId="8">
    <w:abstractNumId w:val="0"/>
  </w:num>
  <w:num w:numId="9">
    <w:abstractNumId w:val="14"/>
  </w:num>
  <w:num w:numId="10">
    <w:abstractNumId w:val="19"/>
  </w:num>
  <w:num w:numId="11">
    <w:abstractNumId w:val="8"/>
  </w:num>
  <w:num w:numId="12">
    <w:abstractNumId w:val="7"/>
  </w:num>
  <w:num w:numId="13">
    <w:abstractNumId w:val="22"/>
  </w:num>
  <w:num w:numId="14">
    <w:abstractNumId w:val="11"/>
  </w:num>
  <w:num w:numId="15">
    <w:abstractNumId w:val="9"/>
  </w:num>
  <w:num w:numId="16">
    <w:abstractNumId w:val="4"/>
  </w:num>
  <w:num w:numId="17">
    <w:abstractNumId w:val="12"/>
  </w:num>
  <w:num w:numId="18">
    <w:abstractNumId w:val="10"/>
  </w:num>
  <w:num w:numId="19">
    <w:abstractNumId w:val="23"/>
  </w:num>
  <w:num w:numId="20">
    <w:abstractNumId w:val="5"/>
  </w:num>
  <w:num w:numId="21">
    <w:abstractNumId w:val="13"/>
  </w:num>
  <w:num w:numId="22">
    <w:abstractNumId w:val="21"/>
  </w:num>
  <w:num w:numId="23">
    <w:abstractNumId w:val="15"/>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120321"/>
    <w:rsid w:val="001E2C0B"/>
    <w:rsid w:val="001F4D9D"/>
    <w:rsid w:val="001F75D3"/>
    <w:rsid w:val="002A5D29"/>
    <w:rsid w:val="00314FB7"/>
    <w:rsid w:val="00527EC5"/>
    <w:rsid w:val="006E1313"/>
    <w:rsid w:val="007B5C65"/>
    <w:rsid w:val="009D08DD"/>
    <w:rsid w:val="00A45160"/>
    <w:rsid w:val="00AD0A43"/>
    <w:rsid w:val="00D15FDE"/>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3960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2022-10-28T07:00:00Z</dcterms:created>
  <dcterms:modified xsi:type="dcterms:W3CDTF">2022-10-28T07:00:00Z</dcterms:modified>
</cp:coreProperties>
</file>